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AGENDA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404851" cy="83785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851" cy="837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Manhattan Hunter Science High School Parents Association 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General Membership Meeting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Tuesday, November 9, 2021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8:30-9:30pm (Via Zoom)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Meeting 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Approval October 2021 Minutes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November 2021 Financials Review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 Debit card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Federal Taxes filing -11/15/2021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Upcoming Expenses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Gershon Retirement Party (food and beverage) $400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Class Mixers (food and beverage) $5,600/$6,500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Skateboard Rack $800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Keyboards/Instruments $1,000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Xmas party (food and beverage) $1,000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 Announcements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Botany Club Update (picture) and Amazon Smile Reminder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“From Thanks to Love” – November to February Giving Campaign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Website design and parent and teacher input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Spring Fling! (Online Auction)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Q&amp;A with Dr. Froner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outlineLvl w:val="4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2DVCNOJQxouK+U/ddE21cCvV+Q==">AMUW2mUL7SmzEr+ABN2PyuHe7b3pKumXdINkIDIPBsLF6HSaLxEHSgYslQMcMNoHW1MXAmmN7Te7PHtOZSB/PYFxmX+4UtbCV3QRPBcqt/RFl8dWiJ0nMxE=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2021-11-08T13:21:00Z</dcterms:created>
  <dc:creator>Wyman, Seana</dc:creator>
</cp:coreProperties>
</file>